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50279ADE"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w:t>
      </w:r>
      <w:r w:rsidR="00C84ED9">
        <w:rPr>
          <w:noProof w:val="0"/>
          <w:sz w:val="24"/>
          <w:szCs w:val="24"/>
        </w:rPr>
        <w:t>9</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C84ED9">
        <w:rPr>
          <w:bCs/>
          <w:noProof w:val="0"/>
          <w:sz w:val="24"/>
          <w:szCs w:val="24"/>
        </w:rPr>
        <w:t>3</w:t>
      </w:r>
      <w:r w:rsidR="006F5EC9">
        <w:rPr>
          <w:bCs/>
          <w:noProof w:val="0"/>
          <w:sz w:val="24"/>
          <w:szCs w:val="24"/>
        </w:rPr>
        <w:t>0528</w:t>
      </w:r>
    </w:p>
    <w:p w14:paraId="1822B173" w14:textId="2DB6847D" w:rsidR="00CD4C7B" w:rsidRPr="00B1063A" w:rsidRDefault="00C84ED9" w:rsidP="00CD4C7B">
      <w:pPr>
        <w:pStyle w:val="Header"/>
        <w:tabs>
          <w:tab w:val="right" w:pos="9639"/>
        </w:tabs>
        <w:rPr>
          <w:bCs/>
          <w:noProof w:val="0"/>
          <w:sz w:val="24"/>
          <w:szCs w:val="24"/>
          <w:lang w:val="en-US"/>
        </w:rPr>
      </w:pPr>
      <w:r w:rsidRPr="00C84ED9">
        <w:rPr>
          <w:rFonts w:cs="Arial"/>
          <w:sz w:val="24"/>
          <w:szCs w:val="24"/>
          <w:lang w:val="en-US"/>
        </w:rPr>
        <w:t>Athens, Greece, 27 February – 3 March, 2023</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7BBC7E23"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846346">
        <w:rPr>
          <w:rFonts w:cs="Arial"/>
          <w:b/>
          <w:bCs/>
          <w:sz w:val="24"/>
          <w:lang w:val="en-US" w:eastAsia="ja-JP"/>
        </w:rPr>
        <w:t>24.2</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317890C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46346">
        <w:rPr>
          <w:rFonts w:ascii="Arial" w:hAnsi="Arial" w:cs="Arial"/>
          <w:b/>
          <w:bCs/>
          <w:sz w:val="24"/>
        </w:rPr>
        <w:t>Initial discussion on cell DTX/DRX for network energy saving</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17607819" w14:textId="6BAA305E" w:rsidR="00B97FCF" w:rsidRPr="001C7101" w:rsidRDefault="00B97FCF" w:rsidP="00B97FCF">
      <w:pPr>
        <w:pStyle w:val="ListParagraph"/>
        <w:spacing w:before="120" w:after="120"/>
        <w:ind w:left="0"/>
        <w:contextualSpacing w:val="0"/>
        <w:jc w:val="both"/>
        <w:rPr>
          <w:sz w:val="22"/>
          <w:szCs w:val="22"/>
          <w:lang w:val="en-US"/>
        </w:rPr>
      </w:pPr>
      <w:bookmarkStart w:id="1" w:name="_Hlk525462591"/>
      <w:r>
        <w:rPr>
          <w:sz w:val="22"/>
          <w:szCs w:val="22"/>
          <w:lang w:val="en-US"/>
        </w:rPr>
        <w:t xml:space="preserve">The WID in </w:t>
      </w:r>
      <w:r w:rsidRPr="00AD667D">
        <w:rPr>
          <w:sz w:val="22"/>
          <w:szCs w:val="22"/>
          <w:lang w:val="en-US"/>
        </w:rPr>
        <w:t>RP-223540</w:t>
      </w:r>
      <w:r>
        <w:rPr>
          <w:sz w:val="22"/>
          <w:szCs w:val="22"/>
          <w:lang w:val="en-US"/>
        </w:rPr>
        <w:t xml:space="preserve"> describes the</w:t>
      </w:r>
      <w:r w:rsidRPr="005C1B07">
        <w:rPr>
          <w:sz w:val="22"/>
          <w:szCs w:val="22"/>
          <w:lang w:val="en-US"/>
        </w:rPr>
        <w:t xml:space="preserve"> </w:t>
      </w:r>
      <w:r>
        <w:rPr>
          <w:sz w:val="22"/>
          <w:szCs w:val="22"/>
          <w:lang w:val="en-US"/>
        </w:rPr>
        <w:t>objective for network energy saving with enhancement on cell DTX/DRX: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513AAF" w:rsidRPr="001C7101" w14:paraId="32D8DF11" w14:textId="77777777" w:rsidTr="00513AAF">
        <w:tc>
          <w:tcPr>
            <w:tcW w:w="9962" w:type="dxa"/>
            <w:shd w:val="clear" w:color="auto" w:fill="auto"/>
          </w:tcPr>
          <w:p w14:paraId="6AEC18DE" w14:textId="77777777" w:rsidR="00B97FCF" w:rsidRPr="00513AAF" w:rsidRDefault="00B97FCF" w:rsidP="00513AAF">
            <w:pPr>
              <w:pStyle w:val="ListParagraph"/>
              <w:numPr>
                <w:ilvl w:val="0"/>
                <w:numId w:val="6"/>
              </w:numPr>
              <w:spacing w:after="0"/>
              <w:jc w:val="both"/>
              <w:rPr>
                <w:rFonts w:ascii="CG Times (WN)" w:hAnsi="CG Times (WN)"/>
                <w:bCs/>
              </w:rPr>
            </w:pPr>
            <w:r w:rsidRPr="00513AAF">
              <w:rPr>
                <w:rFonts w:ascii="CG Times (WN)" w:hAnsi="CG Times (WN)"/>
                <w:bCs/>
              </w:rPr>
              <w:t>Specify enhancement on cell DTX/DRX mechanism including the alignment of cell DTX/DRX and UE DRX in RRC_CONNECTED mode, and inter-node information exchange on cell DTX/DRX [RAN2, RAN1, RAN3]</w:t>
            </w:r>
          </w:p>
          <w:p w14:paraId="7E82E8EB" w14:textId="77777777" w:rsidR="00B97FCF" w:rsidRPr="00513AAF" w:rsidRDefault="00B97FCF" w:rsidP="00513AAF">
            <w:pPr>
              <w:numPr>
                <w:ilvl w:val="0"/>
                <w:numId w:val="5"/>
              </w:numPr>
              <w:overflowPunct w:val="0"/>
              <w:autoSpaceDE w:val="0"/>
              <w:autoSpaceDN w:val="0"/>
              <w:adjustRightInd w:val="0"/>
              <w:spacing w:after="0"/>
              <w:ind w:left="1049" w:hanging="329"/>
              <w:jc w:val="both"/>
              <w:textAlignment w:val="baseline"/>
              <w:rPr>
                <w:rFonts w:ascii="CG Times (WN)" w:eastAsia="SimSun" w:hAnsi="CG Times (WN)"/>
                <w:bCs/>
                <w:lang w:val="en-US" w:eastAsia="zh-CN"/>
              </w:rPr>
            </w:pPr>
            <w:r w:rsidRPr="00513AAF">
              <w:rPr>
                <w:rFonts w:ascii="CG Times (WN)" w:eastAsia="SimSun" w:hAnsi="CG Times (WN)"/>
                <w:bCs/>
                <w:lang w:val="en-US" w:eastAsia="zh-CN"/>
              </w:rPr>
              <w:t>Note: No change for SSB transmission due to cell DTX/DRX.</w:t>
            </w:r>
          </w:p>
          <w:p w14:paraId="7F2E6B57" w14:textId="77777777" w:rsidR="00B97FCF" w:rsidRPr="00513AAF" w:rsidRDefault="00B97FCF" w:rsidP="00513AAF">
            <w:pPr>
              <w:numPr>
                <w:ilvl w:val="0"/>
                <w:numId w:val="5"/>
              </w:numPr>
              <w:overflowPunct w:val="0"/>
              <w:autoSpaceDE w:val="0"/>
              <w:autoSpaceDN w:val="0"/>
              <w:adjustRightInd w:val="0"/>
              <w:spacing w:after="0"/>
              <w:ind w:left="1049" w:hanging="329"/>
              <w:jc w:val="both"/>
              <w:textAlignment w:val="baseline"/>
              <w:rPr>
                <w:rFonts w:ascii="CG Times (WN)" w:eastAsia="SimSun" w:hAnsi="CG Times (WN)"/>
                <w:bCs/>
                <w:lang w:val="en-US" w:eastAsia="zh-CN"/>
              </w:rPr>
            </w:pPr>
            <w:r w:rsidRPr="00513AAF">
              <w:rPr>
                <w:rFonts w:ascii="CG Times (WN)" w:eastAsia="SimSun" w:hAnsi="CG Times (WN)"/>
                <w:bCs/>
                <w:lang w:val="en-US" w:eastAsia="zh-CN"/>
              </w:rPr>
              <w:t>Note: The impact to IDLE/INACTIVE UEs due to the above enhancement should be avoided.</w:t>
            </w:r>
          </w:p>
        </w:tc>
      </w:tr>
    </w:tbl>
    <w:bookmarkEnd w:id="1"/>
    <w:p w14:paraId="479DA40B" w14:textId="2FB2A07A" w:rsidR="00CD4C7B" w:rsidRPr="00D102F9" w:rsidRDefault="00B97FCF" w:rsidP="00D102F9">
      <w:pPr>
        <w:pStyle w:val="ListParagraph"/>
        <w:spacing w:before="120" w:after="120"/>
        <w:ind w:left="0"/>
        <w:contextualSpacing w:val="0"/>
        <w:jc w:val="both"/>
        <w:rPr>
          <w:sz w:val="22"/>
          <w:szCs w:val="22"/>
          <w:lang w:val="en-US"/>
        </w:rPr>
      </w:pPr>
      <w:r>
        <w:rPr>
          <w:sz w:val="22"/>
          <w:szCs w:val="22"/>
          <w:lang w:val="en-US"/>
        </w:rPr>
        <w:t>We here discuss related issues with impact on RAN3 work.</w:t>
      </w:r>
    </w:p>
    <w:p w14:paraId="0F596EB6" w14:textId="77777777" w:rsidR="00B97FCF" w:rsidRDefault="00B97FCF" w:rsidP="00B97FCF">
      <w:pPr>
        <w:pStyle w:val="00BodyText"/>
        <w:spacing w:after="0"/>
        <w:rPr>
          <w:rFonts w:ascii="Times New Roman" w:hAnsi="Times New Roman"/>
          <w:sz w:val="20"/>
          <w:lang w:val="en-GB"/>
        </w:rPr>
      </w:pPr>
    </w:p>
    <w:p w14:paraId="762DB609" w14:textId="4A7231DE" w:rsidR="00B97FCF" w:rsidRPr="006E13D1" w:rsidRDefault="00D102F9" w:rsidP="00B97FCF">
      <w:pPr>
        <w:pStyle w:val="Heading1"/>
      </w:pPr>
      <w:r>
        <w:t>2</w:t>
      </w:r>
      <w:r w:rsidR="00B97FCF" w:rsidRPr="006E13D1">
        <w:tab/>
      </w:r>
      <w:r>
        <w:t>Discussion</w:t>
      </w:r>
    </w:p>
    <w:p w14:paraId="0B0FA2C9" w14:textId="77777777" w:rsidR="00B97FCF" w:rsidRDefault="00B97FCF" w:rsidP="00B97FCF">
      <w:pPr>
        <w:pStyle w:val="00BodyText"/>
        <w:spacing w:after="0"/>
        <w:rPr>
          <w:rFonts w:ascii="Times New Roman" w:hAnsi="Times New Roman"/>
          <w:sz w:val="20"/>
          <w:lang w:val="en-GB"/>
        </w:rPr>
      </w:pPr>
    </w:p>
    <w:p w14:paraId="0ED6382E" w14:textId="7C54B504" w:rsidR="00B97FCF" w:rsidRDefault="00233C4E" w:rsidP="00B97FCF">
      <w:pPr>
        <w:pStyle w:val="00BodyText"/>
        <w:spacing w:after="0"/>
        <w:rPr>
          <w:rFonts w:ascii="Times New Roman" w:hAnsi="Times New Roman"/>
          <w:sz w:val="20"/>
          <w:lang w:val="en-GB"/>
        </w:rPr>
      </w:pPr>
      <w:r>
        <w:rPr>
          <w:rFonts w:ascii="Times New Roman" w:hAnsi="Times New Roman"/>
          <w:sz w:val="20"/>
          <w:lang w:val="en-GB"/>
        </w:rPr>
        <w:t>As per</w:t>
      </w:r>
      <w:r w:rsidRPr="00233C4E">
        <w:rPr>
          <w:rFonts w:ascii="Times New Roman" w:hAnsi="Times New Roman"/>
          <w:sz w:val="20"/>
          <w:lang w:val="en-GB"/>
        </w:rPr>
        <w:t xml:space="preserve"> </w:t>
      </w:r>
      <w:r>
        <w:rPr>
          <w:rFonts w:ascii="Times New Roman" w:hAnsi="Times New Roman"/>
          <w:sz w:val="20"/>
          <w:lang w:val="en-GB"/>
        </w:rPr>
        <w:t>legacy specification</w:t>
      </w:r>
      <w:r w:rsidRPr="00233C4E">
        <w:rPr>
          <w:rFonts w:ascii="Times New Roman" w:hAnsi="Times New Roman"/>
          <w:sz w:val="20"/>
          <w:lang w:val="en-GB"/>
        </w:rPr>
        <w:t xml:space="preserve">, the gNB may configure UE-specific C-DRX cycle for RRC_ CONNECTED UEs that depends on traffic pattern. The configured ON-duration periods of different UEs can be rather dispersedly distributed in time domain. In this case, the gNB may need to wake-up multiple times to serve UEs in the cell due to the non-contiguous ON duration distribution. However, from the NW energy saving perspective, it would be better to align transmissions/reception of UEs in the cell with a common cell active/non-active time. It is therefore the cell-specific DTX and DRX mechanisms were considered during the SI phase of Rel18 NW energy saving study. The main outcome </w:t>
      </w:r>
      <w:r>
        <w:rPr>
          <w:rFonts w:ascii="Times New Roman" w:hAnsi="Times New Roman"/>
          <w:sz w:val="20"/>
          <w:lang w:val="en-GB"/>
        </w:rPr>
        <w:t>relative to RAN1 aspects was captured in TR 38.864 clause</w:t>
      </w:r>
      <w:r w:rsidRPr="00233C4E">
        <w:rPr>
          <w:rFonts w:ascii="Times New Roman" w:hAnsi="Times New Roman"/>
          <w:sz w:val="20"/>
          <w:lang w:val="en-GB"/>
        </w:rPr>
        <w:t xml:space="preserve"> 6.1.4.3</w:t>
      </w:r>
      <w:r>
        <w:rPr>
          <w:rFonts w:ascii="Times New Roman" w:hAnsi="Times New Roman"/>
          <w:sz w:val="20"/>
          <w:lang w:val="en-GB"/>
        </w:rPr>
        <w:t xml:space="preserve">, RAN2 aspects in clause </w:t>
      </w:r>
      <w:r w:rsidRPr="00233C4E">
        <w:rPr>
          <w:rFonts w:ascii="Times New Roman" w:hAnsi="Times New Roman"/>
          <w:sz w:val="20"/>
          <w:lang w:val="en-GB"/>
        </w:rPr>
        <w:t>6.1.4.4</w:t>
      </w:r>
      <w:r>
        <w:rPr>
          <w:rFonts w:ascii="Times New Roman" w:hAnsi="Times New Roman"/>
          <w:sz w:val="20"/>
          <w:lang w:val="en-GB"/>
        </w:rPr>
        <w:t xml:space="preserve">, while </w:t>
      </w:r>
      <w:r w:rsidR="00B97FCF">
        <w:rPr>
          <w:rFonts w:ascii="Times New Roman" w:hAnsi="Times New Roman"/>
          <w:sz w:val="20"/>
          <w:lang w:val="en-GB"/>
        </w:rPr>
        <w:t>RAN3</w:t>
      </w:r>
      <w:r>
        <w:rPr>
          <w:rFonts w:ascii="Times New Roman" w:hAnsi="Times New Roman"/>
          <w:sz w:val="20"/>
          <w:lang w:val="en-GB"/>
        </w:rPr>
        <w:t xml:space="preserve">’s </w:t>
      </w:r>
      <w:r w:rsidR="00B97FCF">
        <w:rPr>
          <w:rFonts w:ascii="Times New Roman" w:hAnsi="Times New Roman"/>
          <w:sz w:val="20"/>
          <w:lang w:val="en-GB"/>
        </w:rPr>
        <w:t xml:space="preserve">agreement on cell DTX/DRX </w:t>
      </w:r>
      <w:r>
        <w:rPr>
          <w:rFonts w:ascii="Times New Roman" w:hAnsi="Times New Roman"/>
          <w:sz w:val="20"/>
          <w:lang w:val="en-GB"/>
        </w:rPr>
        <w:t>was</w:t>
      </w:r>
      <w:r w:rsidR="00B97FCF">
        <w:rPr>
          <w:rFonts w:ascii="Times New Roman" w:hAnsi="Times New Roman"/>
          <w:sz w:val="20"/>
          <w:lang w:val="en-GB"/>
        </w:rPr>
        <w:t xml:space="preserve"> captured in TR 38.864 clause </w:t>
      </w:r>
      <w:r w:rsidR="00B97FCF" w:rsidRPr="00B97FCF">
        <w:rPr>
          <w:rFonts w:ascii="Times New Roman" w:hAnsi="Times New Roman"/>
          <w:sz w:val="20"/>
          <w:lang w:val="en-GB"/>
        </w:rPr>
        <w:t>6.1.4.5</w:t>
      </w:r>
      <w:r w:rsidR="00B97FCF">
        <w:rPr>
          <w:rFonts w:ascii="Times New Roman" w:hAnsi="Times New Roman"/>
          <w:sz w:val="20"/>
          <w:lang w:val="en-GB"/>
        </w:rPr>
        <w:t xml:space="preserve"> as follows:</w:t>
      </w:r>
    </w:p>
    <w:p w14:paraId="6D18CE2B" w14:textId="77777777" w:rsidR="00B97FCF" w:rsidRPr="00B97FCF" w:rsidRDefault="00B97FCF" w:rsidP="00B97FCF">
      <w:pPr>
        <w:pStyle w:val="00BodyText"/>
        <w:spacing w:after="0"/>
        <w:rPr>
          <w:rFonts w:ascii="Times New Roman" w:hAnsi="Times New Roman"/>
          <w:sz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513AAF" w:rsidRPr="001C7101" w14:paraId="104E5ACF" w14:textId="77777777" w:rsidTr="00513AAF">
        <w:tc>
          <w:tcPr>
            <w:tcW w:w="9962" w:type="dxa"/>
            <w:shd w:val="clear" w:color="auto" w:fill="auto"/>
          </w:tcPr>
          <w:p w14:paraId="217E3A37" w14:textId="77777777" w:rsidR="00B97FCF" w:rsidRPr="00513AAF" w:rsidRDefault="00B97FCF" w:rsidP="00513AAF">
            <w:pPr>
              <w:keepNext/>
              <w:keepLines/>
              <w:spacing w:before="120"/>
              <w:ind w:left="1418" w:hanging="1418"/>
              <w:outlineLvl w:val="3"/>
              <w:rPr>
                <w:rFonts w:ascii="Arial" w:eastAsia="SimSun" w:hAnsi="Arial"/>
                <w:sz w:val="24"/>
              </w:rPr>
            </w:pPr>
            <w:r w:rsidRPr="00513AAF">
              <w:rPr>
                <w:rFonts w:ascii="Arial" w:eastAsia="SimSun" w:hAnsi="Arial"/>
                <w:sz w:val="24"/>
              </w:rPr>
              <w:t>6.1.4.5</w:t>
            </w:r>
            <w:r w:rsidRPr="00513AAF">
              <w:rPr>
                <w:rFonts w:ascii="Arial" w:eastAsia="SimSun" w:hAnsi="Arial"/>
                <w:sz w:val="24"/>
              </w:rPr>
              <w:tab/>
              <w:t>Impacts on network interfaces</w:t>
            </w:r>
          </w:p>
          <w:p w14:paraId="028C2301" w14:textId="77777777" w:rsidR="00B97FCF" w:rsidRPr="00513AAF" w:rsidRDefault="00B97FCF" w:rsidP="00B97FCF">
            <w:pPr>
              <w:rPr>
                <w:rFonts w:ascii="CG Times (WN)" w:eastAsia="SimSun" w:hAnsi="CG Times (WN)"/>
                <w:lang w:val="en-US" w:eastAsia="zh-CN"/>
              </w:rPr>
            </w:pPr>
            <w:r w:rsidRPr="00513AAF">
              <w:rPr>
                <w:rFonts w:ascii="CG Times (WN)" w:eastAsia="SimSun" w:hAnsi="CG Times (WN)"/>
                <w:lang w:eastAsia="zh-CN"/>
              </w:rPr>
              <w:t xml:space="preserve">The cell DTX/DRX information is considered necessary to be exchanged and coordinated between neighbour gNBs. The gNB can use the received cell DTX/DTX information to determine its own cell DTX/DRX configuration for network energy saving purpose. </w:t>
            </w:r>
          </w:p>
          <w:p w14:paraId="55279ABB" w14:textId="77777777" w:rsidR="00B97FCF" w:rsidRPr="00513AAF" w:rsidRDefault="00B97FCF" w:rsidP="00B97FCF">
            <w:pPr>
              <w:rPr>
                <w:rFonts w:ascii="CG Times (WN)" w:eastAsia="SimSun" w:hAnsi="CG Times (WN)"/>
              </w:rPr>
            </w:pPr>
            <w:r w:rsidRPr="00513AAF">
              <w:rPr>
                <w:rFonts w:ascii="CG Times (WN)" w:eastAsia="SimSun" w:hAnsi="CG Times (WN)"/>
              </w:rPr>
              <w:t>Note: The details of cell DTX/DRX is finally up to RAN1 and RAN2.</w:t>
            </w:r>
          </w:p>
          <w:p w14:paraId="009286E9" w14:textId="680A8851" w:rsidR="00B97FCF" w:rsidRPr="00513AAF" w:rsidRDefault="00B97FCF" w:rsidP="00513AAF">
            <w:pPr>
              <w:overflowPunct w:val="0"/>
              <w:autoSpaceDE w:val="0"/>
              <w:autoSpaceDN w:val="0"/>
              <w:adjustRightInd w:val="0"/>
              <w:spacing w:after="0"/>
              <w:jc w:val="both"/>
              <w:textAlignment w:val="baseline"/>
              <w:rPr>
                <w:rFonts w:ascii="CG Times (WN)" w:eastAsia="SimSun" w:hAnsi="CG Times (WN)"/>
                <w:bCs/>
                <w:lang w:eastAsia="zh-CN"/>
              </w:rPr>
            </w:pPr>
          </w:p>
        </w:tc>
      </w:tr>
    </w:tbl>
    <w:p w14:paraId="7CD900F2" w14:textId="2C064850" w:rsidR="00B97FCF" w:rsidRDefault="00B97FCF" w:rsidP="00CD4C7B">
      <w:pPr>
        <w:pStyle w:val="00BodyText"/>
        <w:spacing w:after="0"/>
        <w:rPr>
          <w:rFonts w:ascii="Times New Roman" w:hAnsi="Times New Roman"/>
          <w:sz w:val="20"/>
          <w:lang w:val="en-GB"/>
        </w:rPr>
      </w:pPr>
    </w:p>
    <w:p w14:paraId="0810FD68" w14:textId="28FE7997" w:rsidR="00B97FCF" w:rsidRDefault="00B97FCF" w:rsidP="00CD4C7B">
      <w:pPr>
        <w:pStyle w:val="00BodyText"/>
        <w:spacing w:after="0"/>
        <w:rPr>
          <w:rFonts w:ascii="Times New Roman" w:hAnsi="Times New Roman"/>
          <w:sz w:val="20"/>
          <w:lang w:val="en-GB"/>
        </w:rPr>
      </w:pPr>
    </w:p>
    <w:p w14:paraId="53D38E51" w14:textId="12ECA3A3" w:rsidR="00331B1C" w:rsidRDefault="00331B1C" w:rsidP="00CD4C7B">
      <w:pPr>
        <w:pStyle w:val="00BodyText"/>
        <w:spacing w:after="0"/>
        <w:rPr>
          <w:rFonts w:ascii="Times New Roman" w:hAnsi="Times New Roman"/>
          <w:sz w:val="20"/>
          <w:lang w:val="en-GB"/>
        </w:rPr>
      </w:pPr>
      <w:r>
        <w:rPr>
          <w:rFonts w:ascii="Times New Roman" w:hAnsi="Times New Roman"/>
          <w:sz w:val="20"/>
          <w:lang w:val="en-GB"/>
        </w:rPr>
        <w:t>The cell DTX/DRX information is at this stage not further defined, but one can expect it consists of cell DTX/DRX pattern(s) used at a node. There is so far no conclusion yet in RAN3 whether a gNB should strive to align its own cell DTX/DRX pattern with the one of its neighbours, or on the contrary if the patterns should be as orthogonal as possible. In the latter case we expect that the benefit of exchanging the cell DTX/DRX patterns relate to interference mitigation, considering that cell DTX/DRX will create a situation of increased inter-cell interference.</w:t>
      </w:r>
    </w:p>
    <w:p w14:paraId="1C923EE7" w14:textId="77777777" w:rsidR="00331B1C" w:rsidRDefault="00331B1C" w:rsidP="00CD4C7B">
      <w:pPr>
        <w:pStyle w:val="00BodyText"/>
        <w:spacing w:after="0"/>
        <w:rPr>
          <w:rFonts w:ascii="Times New Roman" w:hAnsi="Times New Roman"/>
          <w:sz w:val="20"/>
          <w:lang w:val="en-GB"/>
        </w:rPr>
      </w:pPr>
    </w:p>
    <w:p w14:paraId="458B5249" w14:textId="5FC11292" w:rsidR="00B97FCF" w:rsidRDefault="00233C4E" w:rsidP="00CD4C7B">
      <w:pPr>
        <w:pStyle w:val="00BodyText"/>
        <w:spacing w:after="0"/>
        <w:rPr>
          <w:rFonts w:ascii="Times New Roman" w:hAnsi="Times New Roman"/>
          <w:sz w:val="20"/>
          <w:lang w:val="en-GB"/>
        </w:rPr>
      </w:pPr>
      <w:r>
        <w:rPr>
          <w:rFonts w:ascii="Times New Roman" w:hAnsi="Times New Roman"/>
          <w:sz w:val="20"/>
          <w:lang w:val="en-GB"/>
        </w:rPr>
        <w:t xml:space="preserve">Clause 6.1.4.4 (RAN2) gives the following examples of </w:t>
      </w:r>
      <w:r w:rsidR="00331B1C">
        <w:rPr>
          <w:rFonts w:ascii="Times New Roman" w:hAnsi="Times New Roman"/>
          <w:sz w:val="20"/>
          <w:lang w:val="en-GB"/>
        </w:rPr>
        <w:t xml:space="preserve">gNB </w:t>
      </w:r>
      <w:r w:rsidRPr="00233C4E">
        <w:rPr>
          <w:rFonts w:ascii="Times New Roman" w:hAnsi="Times New Roman"/>
          <w:sz w:val="20"/>
          <w:lang w:val="en-GB"/>
        </w:rPr>
        <w:t xml:space="preserve">behaviour </w:t>
      </w:r>
      <w:r w:rsidR="00331B1C">
        <w:rPr>
          <w:rFonts w:ascii="Times New Roman" w:hAnsi="Times New Roman"/>
          <w:sz w:val="20"/>
          <w:lang w:val="en-GB"/>
        </w:rPr>
        <w:t xml:space="preserve">in terms of cell transmission </w:t>
      </w:r>
      <w:r w:rsidRPr="00233C4E">
        <w:rPr>
          <w:rFonts w:ascii="Times New Roman" w:hAnsi="Times New Roman"/>
          <w:sz w:val="20"/>
          <w:lang w:val="en-GB"/>
        </w:rPr>
        <w:t>during non-active periods</w:t>
      </w:r>
      <w:r w:rsidR="00331B1C">
        <w:rPr>
          <w:rFonts w:ascii="Times New Roman" w:hAnsi="Times New Roman"/>
          <w:sz w:val="20"/>
          <w:lang w:val="en-GB"/>
        </w:rPr>
        <w:t xml:space="preserve"> within the c</w:t>
      </w:r>
      <w:r w:rsidR="00331B1C" w:rsidRPr="00233C4E">
        <w:rPr>
          <w:rFonts w:ascii="Times New Roman" w:hAnsi="Times New Roman"/>
          <w:sz w:val="20"/>
          <w:lang w:val="en-GB"/>
        </w:rPr>
        <w:t>ell DTX/DRX</w:t>
      </w:r>
      <w:r w:rsidR="00331B1C">
        <w:rPr>
          <w:rFonts w:ascii="Times New Roman" w:hAnsi="Times New Roman"/>
          <w:sz w:val="20"/>
          <w:lang w:val="en-GB"/>
        </w:rPr>
        <w:t xml:space="preserve"> pattern</w:t>
      </w:r>
      <w:r>
        <w:rPr>
          <w:rFonts w:ascii="Times New Roman" w:hAnsi="Times New Roman"/>
          <w:sz w:val="20"/>
          <w:lang w:val="en-GB"/>
        </w:rPr>
        <w:t>:</w:t>
      </w:r>
    </w:p>
    <w:p w14:paraId="5DD24521" w14:textId="66B2E2AB" w:rsidR="00233C4E" w:rsidRDefault="00233C4E" w:rsidP="00CD4C7B">
      <w:pPr>
        <w:pStyle w:val="00BodyText"/>
        <w:spacing w:after="0"/>
        <w:rPr>
          <w:rFonts w:ascii="Times New Roman" w:hAnsi="Times New Roman"/>
          <w:sz w:val="20"/>
          <w:lang w:val="en-GB"/>
        </w:rPr>
      </w:pPr>
    </w:p>
    <w:p w14:paraId="06F4863A" w14:textId="77777777" w:rsidR="00233C4E" w:rsidRPr="00212EE2" w:rsidRDefault="00233C4E" w:rsidP="00233C4E">
      <w:pPr>
        <w:pStyle w:val="B1"/>
        <w:rPr>
          <w:i/>
          <w:iCs/>
          <w:lang w:eastAsia="zh-CN"/>
        </w:rPr>
      </w:pPr>
      <w:r>
        <w:rPr>
          <w:lang w:eastAsia="zh-CN"/>
        </w:rPr>
        <w:t>-</w:t>
      </w:r>
      <w:r>
        <w:rPr>
          <w:lang w:eastAsia="zh-CN"/>
        </w:rPr>
        <w:tab/>
      </w:r>
      <w:r w:rsidRPr="00212EE2">
        <w:rPr>
          <w:i/>
          <w:iCs/>
          <w:lang w:eastAsia="zh-CN"/>
        </w:rPr>
        <w:t>Example 1: gNB is expected to turn off all transmission and reception for data traffic and reference signal during Cell DTX/DRX non-active periods.</w:t>
      </w:r>
    </w:p>
    <w:p w14:paraId="6DCE0A27" w14:textId="77777777" w:rsidR="00233C4E" w:rsidRPr="00212EE2" w:rsidRDefault="00233C4E" w:rsidP="00233C4E">
      <w:pPr>
        <w:pStyle w:val="B1"/>
        <w:rPr>
          <w:i/>
          <w:iCs/>
          <w:lang w:eastAsia="zh-CN"/>
        </w:rPr>
      </w:pPr>
      <w:r w:rsidRPr="00212EE2">
        <w:rPr>
          <w:i/>
          <w:iCs/>
          <w:lang w:eastAsia="zh-CN"/>
        </w:rPr>
        <w:t>-</w:t>
      </w:r>
      <w:r w:rsidRPr="00212EE2">
        <w:rPr>
          <w:i/>
          <w:iCs/>
          <w:lang w:eastAsia="zh-CN"/>
        </w:rPr>
        <w:tab/>
        <w:t>Example 2: gNB is expected to turn off its transmission/reception only for data traffic during Cell DTX/DRX non-active periods (i.e., gNB will still transmit/receive reference signals)</w:t>
      </w:r>
    </w:p>
    <w:p w14:paraId="14686505" w14:textId="77777777" w:rsidR="00233C4E" w:rsidRPr="00212EE2" w:rsidRDefault="00233C4E" w:rsidP="00233C4E">
      <w:pPr>
        <w:pStyle w:val="B1"/>
        <w:rPr>
          <w:i/>
          <w:iCs/>
          <w:lang w:eastAsia="zh-CN"/>
        </w:rPr>
      </w:pPr>
      <w:r w:rsidRPr="00212EE2">
        <w:rPr>
          <w:i/>
          <w:iCs/>
          <w:lang w:eastAsia="zh-CN"/>
        </w:rPr>
        <w:t>-</w:t>
      </w:r>
      <w:r w:rsidRPr="00212EE2">
        <w:rPr>
          <w:i/>
          <w:iCs/>
          <w:lang w:eastAsia="zh-CN"/>
        </w:rPr>
        <w:tab/>
        <w:t>Example 3: gNB is expected to turn off its dynamic data transmission/reception during Cell DTX/DRX non-active periods (i.e., gNB is expected to still perform transmission/reception in periodic resources, including SPS, CG-PUSCH, SR, RACH, and SRS).</w:t>
      </w:r>
    </w:p>
    <w:p w14:paraId="03F82532" w14:textId="77777777" w:rsidR="00233C4E" w:rsidRPr="00212EE2" w:rsidRDefault="00233C4E" w:rsidP="00233C4E">
      <w:pPr>
        <w:pStyle w:val="B1"/>
        <w:rPr>
          <w:i/>
          <w:iCs/>
          <w:lang w:eastAsia="zh-CN"/>
        </w:rPr>
      </w:pPr>
      <w:r w:rsidRPr="00212EE2">
        <w:rPr>
          <w:i/>
          <w:iCs/>
          <w:lang w:eastAsia="zh-CN"/>
        </w:rPr>
        <w:t>-</w:t>
      </w:r>
      <w:r w:rsidRPr="00212EE2">
        <w:rPr>
          <w:i/>
          <w:iCs/>
          <w:lang w:eastAsia="zh-CN"/>
        </w:rPr>
        <w:tab/>
        <w:t>Example 4: gNB is expected to only transmit reference signals (e.g., CSI-RS for measurement).</w:t>
      </w:r>
    </w:p>
    <w:p w14:paraId="036F1AA9" w14:textId="7CD698FE" w:rsidR="00A71EBB" w:rsidRDefault="00A71EBB" w:rsidP="00CD4C7B">
      <w:pPr>
        <w:pStyle w:val="00BodyText"/>
        <w:spacing w:after="0"/>
        <w:rPr>
          <w:rFonts w:ascii="Times New Roman" w:hAnsi="Times New Roman"/>
          <w:sz w:val="20"/>
          <w:lang w:val="en-GB"/>
        </w:rPr>
      </w:pPr>
      <w:r>
        <w:rPr>
          <w:rFonts w:ascii="Times New Roman" w:hAnsi="Times New Roman"/>
          <w:sz w:val="20"/>
          <w:lang w:val="en-GB"/>
        </w:rPr>
        <w:t xml:space="preserve">Therefore, the level of actual inter-cell interference </w:t>
      </w:r>
      <w:r w:rsidRPr="00233C4E">
        <w:rPr>
          <w:rFonts w:ascii="Times New Roman" w:hAnsi="Times New Roman"/>
          <w:sz w:val="20"/>
          <w:lang w:val="en-GB"/>
        </w:rPr>
        <w:t>during non-active periods</w:t>
      </w:r>
      <w:r>
        <w:rPr>
          <w:rFonts w:ascii="Times New Roman" w:hAnsi="Times New Roman"/>
          <w:sz w:val="20"/>
          <w:lang w:val="en-GB"/>
        </w:rPr>
        <w:t xml:space="preserve"> within the c</w:t>
      </w:r>
      <w:r w:rsidRPr="00233C4E">
        <w:rPr>
          <w:rFonts w:ascii="Times New Roman" w:hAnsi="Times New Roman"/>
          <w:sz w:val="20"/>
          <w:lang w:val="en-GB"/>
        </w:rPr>
        <w:t>ell DTX/DRX</w:t>
      </w:r>
      <w:r>
        <w:rPr>
          <w:rFonts w:ascii="Times New Roman" w:hAnsi="Times New Roman"/>
          <w:sz w:val="20"/>
          <w:lang w:val="en-GB"/>
        </w:rPr>
        <w:t xml:space="preserve"> pattern will depend on RAN2 and RAN1’s further agreements in relation to the scenarios listed</w:t>
      </w:r>
      <w:r w:rsidRPr="00A71EBB">
        <w:rPr>
          <w:rFonts w:ascii="Times New Roman" w:hAnsi="Times New Roman"/>
          <w:sz w:val="20"/>
          <w:lang w:val="en-GB"/>
        </w:rPr>
        <w:t xml:space="preserve"> </w:t>
      </w:r>
      <w:r>
        <w:rPr>
          <w:rFonts w:ascii="Times New Roman" w:hAnsi="Times New Roman"/>
          <w:sz w:val="20"/>
          <w:lang w:val="en-GB"/>
        </w:rPr>
        <w:t>above. We also expect that RAN2 will inform RAN3 about any additional purpose of the required inter-node signalling, e.g. whether such signalling would also be needed for configuration of UE measurement gaps.</w:t>
      </w:r>
      <w:r w:rsidR="002D5A64">
        <w:rPr>
          <w:rFonts w:ascii="Times New Roman" w:hAnsi="Times New Roman"/>
          <w:sz w:val="20"/>
          <w:lang w:val="en-GB"/>
        </w:rPr>
        <w:t xml:space="preserve"> </w:t>
      </w:r>
    </w:p>
    <w:p w14:paraId="3AB77B8A" w14:textId="77777777" w:rsidR="00A71EBB" w:rsidRDefault="00A71EBB" w:rsidP="00CD4C7B">
      <w:pPr>
        <w:pStyle w:val="00BodyText"/>
        <w:spacing w:after="0"/>
        <w:rPr>
          <w:rFonts w:ascii="Times New Roman" w:hAnsi="Times New Roman"/>
          <w:sz w:val="20"/>
          <w:lang w:val="en-GB"/>
        </w:rPr>
      </w:pPr>
    </w:p>
    <w:p w14:paraId="77AEB899" w14:textId="4FB83D9C" w:rsidR="00233C4E" w:rsidRDefault="00A71EBB" w:rsidP="00CD4C7B">
      <w:pPr>
        <w:pStyle w:val="00BodyText"/>
        <w:spacing w:after="0"/>
        <w:rPr>
          <w:rFonts w:ascii="Times New Roman" w:hAnsi="Times New Roman"/>
          <w:sz w:val="20"/>
          <w:lang w:val="en-GB"/>
        </w:rPr>
      </w:pPr>
      <w:r>
        <w:rPr>
          <w:rFonts w:ascii="Times New Roman" w:hAnsi="Times New Roman"/>
          <w:sz w:val="20"/>
          <w:lang w:val="en-GB"/>
        </w:rPr>
        <w:t xml:space="preserve">Based on the above, </w:t>
      </w:r>
      <w:r w:rsidR="001F2184">
        <w:rPr>
          <w:rFonts w:ascii="Times New Roman" w:hAnsi="Times New Roman"/>
          <w:sz w:val="20"/>
          <w:lang w:val="en-GB"/>
        </w:rPr>
        <w:t xml:space="preserve">we believe that RAN2 and RAN1 </w:t>
      </w:r>
      <w:r>
        <w:rPr>
          <w:rFonts w:ascii="Times New Roman" w:hAnsi="Times New Roman"/>
          <w:sz w:val="20"/>
          <w:lang w:val="en-GB"/>
        </w:rPr>
        <w:t xml:space="preserve">in the first part of the work item </w:t>
      </w:r>
      <w:r w:rsidR="001F2184">
        <w:rPr>
          <w:rFonts w:ascii="Times New Roman" w:hAnsi="Times New Roman"/>
          <w:sz w:val="20"/>
          <w:lang w:val="en-GB"/>
        </w:rPr>
        <w:t xml:space="preserve">need to sort out which of the four cell DTX/DRX scenarios (examples) above </w:t>
      </w:r>
      <w:r>
        <w:rPr>
          <w:rFonts w:ascii="Times New Roman" w:hAnsi="Times New Roman"/>
          <w:sz w:val="20"/>
          <w:lang w:val="en-GB"/>
        </w:rPr>
        <w:t>to</w:t>
      </w:r>
      <w:r w:rsidR="001F2184">
        <w:rPr>
          <w:rFonts w:ascii="Times New Roman" w:hAnsi="Times New Roman"/>
          <w:sz w:val="20"/>
          <w:lang w:val="en-GB"/>
        </w:rPr>
        <w:t xml:space="preserve"> be supported. </w:t>
      </w:r>
      <w:r w:rsidR="002D5A64">
        <w:rPr>
          <w:rFonts w:ascii="Times New Roman" w:hAnsi="Times New Roman"/>
          <w:sz w:val="20"/>
          <w:lang w:val="en-GB"/>
        </w:rPr>
        <w:t>Only based on this information RAN3 can determine details on signalling procedures to be used and message content (cell DTX/DRX pattern definition).</w:t>
      </w:r>
    </w:p>
    <w:p w14:paraId="6197DEAA" w14:textId="6B5C81EB" w:rsidR="002D5A64" w:rsidRDefault="002D5A64" w:rsidP="00CD4C7B">
      <w:pPr>
        <w:pStyle w:val="00BodyText"/>
        <w:spacing w:after="0"/>
        <w:rPr>
          <w:rFonts w:ascii="Times New Roman" w:hAnsi="Times New Roman"/>
          <w:sz w:val="20"/>
          <w:lang w:val="en-GB"/>
        </w:rPr>
      </w:pPr>
    </w:p>
    <w:p w14:paraId="14AD8282" w14:textId="2ED99DC3" w:rsidR="00B97FCF" w:rsidRPr="002D5A64" w:rsidRDefault="002D5A64" w:rsidP="00CD4C7B">
      <w:pPr>
        <w:pStyle w:val="00BodyText"/>
        <w:spacing w:after="0"/>
        <w:rPr>
          <w:rFonts w:ascii="Times New Roman" w:hAnsi="Times New Roman"/>
          <w:b/>
          <w:bCs/>
          <w:sz w:val="20"/>
          <w:lang w:val="en-GB"/>
        </w:rPr>
      </w:pPr>
      <w:r w:rsidRPr="002D5A64">
        <w:rPr>
          <w:rFonts w:ascii="Times New Roman" w:hAnsi="Times New Roman"/>
          <w:b/>
          <w:bCs/>
          <w:sz w:val="20"/>
          <w:lang w:val="en-GB"/>
        </w:rPr>
        <w:t>Proposal: RAN3 to await RAN2 and RAN1 decisions relative to cell DTX/DRX before proceeding on details on signalling procedures</w:t>
      </w:r>
      <w:r w:rsidR="0043117F">
        <w:rPr>
          <w:rFonts w:ascii="Times New Roman" w:hAnsi="Times New Roman"/>
          <w:b/>
          <w:bCs/>
          <w:sz w:val="20"/>
          <w:lang w:val="en-GB"/>
        </w:rPr>
        <w:t xml:space="preserve"> </w:t>
      </w:r>
      <w:r w:rsidR="0043117F" w:rsidRPr="0043117F">
        <w:rPr>
          <w:rFonts w:ascii="Times New Roman" w:hAnsi="Times New Roman"/>
          <w:b/>
          <w:bCs/>
          <w:sz w:val="20"/>
          <w:lang w:val="en-GB"/>
        </w:rPr>
        <w:t>and message content (cell DTX/DRX pattern definition)</w:t>
      </w:r>
      <w:r w:rsidRPr="002D5A64">
        <w:rPr>
          <w:rFonts w:ascii="Times New Roman" w:hAnsi="Times New Roman"/>
          <w:b/>
          <w:bCs/>
          <w:sz w:val="20"/>
          <w:lang w:val="en-GB"/>
        </w:rPr>
        <w:t>.</w:t>
      </w:r>
    </w:p>
    <w:p w14:paraId="117F8071" w14:textId="77777777" w:rsidR="00B97FCF" w:rsidRPr="00972FD7" w:rsidRDefault="00B97FCF" w:rsidP="00CD4C7B">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t>3</w:t>
      </w:r>
      <w:r w:rsidR="00CD4C7B" w:rsidRPr="006E13D1">
        <w:tab/>
      </w:r>
      <w:r>
        <w:t>Conclusion</w:t>
      </w:r>
    </w:p>
    <w:p w14:paraId="6093981F" w14:textId="735552C9" w:rsidR="00CD4C7B" w:rsidRDefault="002D5A64" w:rsidP="00CD4C7B">
      <w:r>
        <w:t>We have made the following proposal:</w:t>
      </w:r>
    </w:p>
    <w:p w14:paraId="1C381558" w14:textId="77777777" w:rsidR="0043117F" w:rsidRPr="002D5A64" w:rsidRDefault="0043117F" w:rsidP="0043117F">
      <w:pPr>
        <w:pStyle w:val="00BodyText"/>
        <w:spacing w:after="0"/>
        <w:rPr>
          <w:rFonts w:ascii="Times New Roman" w:hAnsi="Times New Roman"/>
          <w:b/>
          <w:bCs/>
          <w:sz w:val="20"/>
          <w:lang w:val="en-GB"/>
        </w:rPr>
      </w:pPr>
      <w:r w:rsidRPr="002D5A64">
        <w:rPr>
          <w:rFonts w:ascii="Times New Roman" w:hAnsi="Times New Roman"/>
          <w:b/>
          <w:bCs/>
          <w:sz w:val="20"/>
          <w:lang w:val="en-GB"/>
        </w:rPr>
        <w:t>Proposal: RAN3 to await RAN2 and RAN1 decisions relative to cell DTX/DRX before proceeding on details on signalling procedures</w:t>
      </w:r>
      <w:r>
        <w:rPr>
          <w:rFonts w:ascii="Times New Roman" w:hAnsi="Times New Roman"/>
          <w:b/>
          <w:bCs/>
          <w:sz w:val="20"/>
          <w:lang w:val="en-GB"/>
        </w:rPr>
        <w:t xml:space="preserve"> </w:t>
      </w:r>
      <w:r w:rsidRPr="0043117F">
        <w:rPr>
          <w:rFonts w:ascii="Times New Roman" w:hAnsi="Times New Roman"/>
          <w:b/>
          <w:bCs/>
          <w:sz w:val="20"/>
          <w:lang w:val="en-GB"/>
        </w:rPr>
        <w:t>and message content (cell DTX/DRX pattern definition)</w:t>
      </w:r>
      <w:r w:rsidRPr="002D5A64">
        <w:rPr>
          <w:rFonts w:ascii="Times New Roman" w:hAnsi="Times New Roman"/>
          <w:b/>
          <w:bCs/>
          <w:sz w:val="20"/>
          <w:lang w:val="en-GB"/>
        </w:rPr>
        <w:t>.</w:t>
      </w:r>
    </w:p>
    <w:p w14:paraId="2B55EA1F" w14:textId="77777777" w:rsidR="002D5A64" w:rsidRPr="006E13D1" w:rsidRDefault="002D5A64" w:rsidP="00CD4C7B"/>
    <w:p w14:paraId="1DD4FB92" w14:textId="77777777" w:rsidR="00CD4C7B" w:rsidRPr="006E13D1" w:rsidRDefault="00CD4C7B" w:rsidP="00CD4C7B"/>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21194" w14:textId="77777777" w:rsidR="00513AAF" w:rsidRDefault="00513AAF">
      <w:r>
        <w:separator/>
      </w:r>
    </w:p>
  </w:endnote>
  <w:endnote w:type="continuationSeparator" w:id="0">
    <w:p w14:paraId="7D03A542" w14:textId="77777777" w:rsidR="00513AAF" w:rsidRDefault="00513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7F81C" w14:textId="77777777" w:rsidR="00513AAF" w:rsidRDefault="00513AAF">
      <w:r>
        <w:separator/>
      </w:r>
    </w:p>
  </w:footnote>
  <w:footnote w:type="continuationSeparator" w:id="0">
    <w:p w14:paraId="1BC0A562" w14:textId="77777777" w:rsidR="00513AAF" w:rsidRDefault="00513A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8B53480"/>
    <w:multiLevelType w:val="hybridMultilevel"/>
    <w:tmpl w:val="E0E68358"/>
    <w:lvl w:ilvl="0" w:tplc="9B0E04E4">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D0F203A"/>
    <w:multiLevelType w:val="hybridMultilevel"/>
    <w:tmpl w:val="CDF498EE"/>
    <w:lvl w:ilvl="0" w:tplc="08090001">
      <w:start w:val="1"/>
      <w:numFmt w:val="bullet"/>
      <w:lvlText w:val=""/>
      <w:lvlJc w:val="left"/>
      <w:pPr>
        <w:ind w:left="899" w:hanging="420"/>
      </w:pPr>
      <w:rPr>
        <w:rFonts w:ascii="Symbol" w:hAnsi="Symbol" w:hint="default"/>
      </w:rPr>
    </w:lvl>
    <w:lvl w:ilvl="1" w:tplc="041D0003">
      <w:start w:val="1"/>
      <w:numFmt w:val="bullet"/>
      <w:lvlText w:val="o"/>
      <w:lvlJc w:val="left"/>
      <w:pPr>
        <w:ind w:left="1319" w:hanging="420"/>
      </w:pPr>
      <w:rPr>
        <w:rFonts w:ascii="Courier New" w:hAnsi="Courier New" w:cs="Courier New" w:hint="default"/>
      </w:rPr>
    </w:lvl>
    <w:lvl w:ilvl="2" w:tplc="041D0005">
      <w:start w:val="1"/>
      <w:numFmt w:val="bullet"/>
      <w:lvlText w:val=""/>
      <w:lvlJc w:val="left"/>
      <w:pPr>
        <w:ind w:left="1739" w:hanging="420"/>
      </w:pPr>
      <w:rPr>
        <w:rFonts w:ascii="Wingdings" w:hAnsi="Wingdings" w:hint="default"/>
      </w:rPr>
    </w:lvl>
    <w:lvl w:ilvl="3" w:tplc="04090001">
      <w:start w:val="1"/>
      <w:numFmt w:val="bullet"/>
      <w:lvlText w:val=""/>
      <w:lvlJc w:val="left"/>
      <w:pPr>
        <w:ind w:left="2159" w:hanging="420"/>
      </w:pPr>
      <w:rPr>
        <w:rFonts w:ascii="Wingdings" w:hAnsi="Wingdings" w:hint="default"/>
      </w:rPr>
    </w:lvl>
    <w:lvl w:ilvl="4" w:tplc="04090003">
      <w:start w:val="1"/>
      <w:numFmt w:val="bullet"/>
      <w:lvlText w:val=""/>
      <w:lvlJc w:val="left"/>
      <w:pPr>
        <w:ind w:left="2579" w:hanging="420"/>
      </w:pPr>
      <w:rPr>
        <w:rFonts w:ascii="Wingdings" w:hAnsi="Wingdings" w:hint="default"/>
      </w:rPr>
    </w:lvl>
    <w:lvl w:ilvl="5" w:tplc="04090005">
      <w:start w:val="1"/>
      <w:numFmt w:val="bullet"/>
      <w:lvlText w:val=""/>
      <w:lvlJc w:val="left"/>
      <w:pPr>
        <w:ind w:left="2999" w:hanging="420"/>
      </w:pPr>
      <w:rPr>
        <w:rFonts w:ascii="Wingdings" w:hAnsi="Wingdings" w:hint="default"/>
      </w:rPr>
    </w:lvl>
    <w:lvl w:ilvl="6" w:tplc="04090001">
      <w:start w:val="1"/>
      <w:numFmt w:val="bullet"/>
      <w:lvlText w:val=""/>
      <w:lvlJc w:val="left"/>
      <w:pPr>
        <w:ind w:left="3419" w:hanging="420"/>
      </w:pPr>
      <w:rPr>
        <w:rFonts w:ascii="Wingdings" w:hAnsi="Wingdings" w:hint="default"/>
      </w:rPr>
    </w:lvl>
    <w:lvl w:ilvl="7" w:tplc="04090003">
      <w:start w:val="1"/>
      <w:numFmt w:val="bullet"/>
      <w:lvlText w:val=""/>
      <w:lvlJc w:val="left"/>
      <w:pPr>
        <w:ind w:left="3839" w:hanging="420"/>
      </w:pPr>
      <w:rPr>
        <w:rFonts w:ascii="Wingdings" w:hAnsi="Wingdings" w:hint="default"/>
      </w:rPr>
    </w:lvl>
    <w:lvl w:ilvl="8" w:tplc="04090005">
      <w:start w:val="1"/>
      <w:numFmt w:val="bullet"/>
      <w:lvlText w:val=""/>
      <w:lvlJc w:val="left"/>
      <w:pPr>
        <w:ind w:left="4259"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5563E"/>
    <w:rsid w:val="00080512"/>
    <w:rsid w:val="00083F0D"/>
    <w:rsid w:val="000B7BCF"/>
    <w:rsid w:val="000C556D"/>
    <w:rsid w:val="000D376D"/>
    <w:rsid w:val="000D58AB"/>
    <w:rsid w:val="001075B7"/>
    <w:rsid w:val="001370F2"/>
    <w:rsid w:val="001549DD"/>
    <w:rsid w:val="001550D6"/>
    <w:rsid w:val="00194CD0"/>
    <w:rsid w:val="001B08B3"/>
    <w:rsid w:val="001C4281"/>
    <w:rsid w:val="001D0D3F"/>
    <w:rsid w:val="001E39D1"/>
    <w:rsid w:val="001F168B"/>
    <w:rsid w:val="001F2184"/>
    <w:rsid w:val="001F70B7"/>
    <w:rsid w:val="00212EE2"/>
    <w:rsid w:val="00225F6D"/>
    <w:rsid w:val="0022606D"/>
    <w:rsid w:val="002305DD"/>
    <w:rsid w:val="00233C4E"/>
    <w:rsid w:val="00242C2A"/>
    <w:rsid w:val="00243BC7"/>
    <w:rsid w:val="002623FC"/>
    <w:rsid w:val="002747EC"/>
    <w:rsid w:val="002855BF"/>
    <w:rsid w:val="002953B2"/>
    <w:rsid w:val="002D5A64"/>
    <w:rsid w:val="002E1692"/>
    <w:rsid w:val="002F0D22"/>
    <w:rsid w:val="003172DC"/>
    <w:rsid w:val="00326069"/>
    <w:rsid w:val="00331B1C"/>
    <w:rsid w:val="003454FC"/>
    <w:rsid w:val="0035462D"/>
    <w:rsid w:val="00363177"/>
    <w:rsid w:val="003702F7"/>
    <w:rsid w:val="003B3FB3"/>
    <w:rsid w:val="003C4E37"/>
    <w:rsid w:val="003E1194"/>
    <w:rsid w:val="003E16BE"/>
    <w:rsid w:val="003E7223"/>
    <w:rsid w:val="00401855"/>
    <w:rsid w:val="0043117F"/>
    <w:rsid w:val="00464695"/>
    <w:rsid w:val="004C5539"/>
    <w:rsid w:val="004D3578"/>
    <w:rsid w:val="004D380D"/>
    <w:rsid w:val="004D3F58"/>
    <w:rsid w:val="004D5E47"/>
    <w:rsid w:val="004E213A"/>
    <w:rsid w:val="004E21FC"/>
    <w:rsid w:val="00503171"/>
    <w:rsid w:val="00513AAF"/>
    <w:rsid w:val="005153FE"/>
    <w:rsid w:val="005240A4"/>
    <w:rsid w:val="00531C12"/>
    <w:rsid w:val="00534DA0"/>
    <w:rsid w:val="00540B31"/>
    <w:rsid w:val="00543E6C"/>
    <w:rsid w:val="00544635"/>
    <w:rsid w:val="00565087"/>
    <w:rsid w:val="0056573F"/>
    <w:rsid w:val="00565BE9"/>
    <w:rsid w:val="00571CE2"/>
    <w:rsid w:val="005A27D5"/>
    <w:rsid w:val="005A4971"/>
    <w:rsid w:val="005B1232"/>
    <w:rsid w:val="005B2EEF"/>
    <w:rsid w:val="005D4274"/>
    <w:rsid w:val="00605E3E"/>
    <w:rsid w:val="00606DA9"/>
    <w:rsid w:val="00611566"/>
    <w:rsid w:val="00611D47"/>
    <w:rsid w:val="00656E1E"/>
    <w:rsid w:val="006604E4"/>
    <w:rsid w:val="006B36A5"/>
    <w:rsid w:val="006C54B5"/>
    <w:rsid w:val="006D1E24"/>
    <w:rsid w:val="006F5EC9"/>
    <w:rsid w:val="00702BDF"/>
    <w:rsid w:val="007318F1"/>
    <w:rsid w:val="00734A5B"/>
    <w:rsid w:val="00741EC5"/>
    <w:rsid w:val="00743525"/>
    <w:rsid w:val="00744E76"/>
    <w:rsid w:val="007476DB"/>
    <w:rsid w:val="0075565E"/>
    <w:rsid w:val="00757D40"/>
    <w:rsid w:val="00774846"/>
    <w:rsid w:val="00781F0F"/>
    <w:rsid w:val="0078727C"/>
    <w:rsid w:val="00797D4B"/>
    <w:rsid w:val="007C095F"/>
    <w:rsid w:val="007D5902"/>
    <w:rsid w:val="007F2676"/>
    <w:rsid w:val="00802106"/>
    <w:rsid w:val="008028A4"/>
    <w:rsid w:val="00806520"/>
    <w:rsid w:val="00830106"/>
    <w:rsid w:val="00840916"/>
    <w:rsid w:val="00846346"/>
    <w:rsid w:val="00853EDD"/>
    <w:rsid w:val="008604EE"/>
    <w:rsid w:val="0087401D"/>
    <w:rsid w:val="008768CA"/>
    <w:rsid w:val="00880559"/>
    <w:rsid w:val="008C2835"/>
    <w:rsid w:val="008C490B"/>
    <w:rsid w:val="0090271F"/>
    <w:rsid w:val="00903D8C"/>
    <w:rsid w:val="00942EC2"/>
    <w:rsid w:val="00954BCB"/>
    <w:rsid w:val="00961B32"/>
    <w:rsid w:val="00971683"/>
    <w:rsid w:val="00972FD7"/>
    <w:rsid w:val="00974BB0"/>
    <w:rsid w:val="009A6E4F"/>
    <w:rsid w:val="009C4D5C"/>
    <w:rsid w:val="009D0A28"/>
    <w:rsid w:val="009E618D"/>
    <w:rsid w:val="009F3B54"/>
    <w:rsid w:val="009F7E6E"/>
    <w:rsid w:val="00A10F02"/>
    <w:rsid w:val="00A53724"/>
    <w:rsid w:val="00A71EBB"/>
    <w:rsid w:val="00A814E6"/>
    <w:rsid w:val="00A82346"/>
    <w:rsid w:val="00A8361A"/>
    <w:rsid w:val="00A9671C"/>
    <w:rsid w:val="00AB6AAB"/>
    <w:rsid w:val="00AD4BCF"/>
    <w:rsid w:val="00AF4A8E"/>
    <w:rsid w:val="00AF78D5"/>
    <w:rsid w:val="00B1063A"/>
    <w:rsid w:val="00B15449"/>
    <w:rsid w:val="00B21241"/>
    <w:rsid w:val="00B746AA"/>
    <w:rsid w:val="00B9781E"/>
    <w:rsid w:val="00B97FCF"/>
    <w:rsid w:val="00BC7AEB"/>
    <w:rsid w:val="00BF79F1"/>
    <w:rsid w:val="00C03035"/>
    <w:rsid w:val="00C275BC"/>
    <w:rsid w:val="00C33079"/>
    <w:rsid w:val="00C365F1"/>
    <w:rsid w:val="00C43B31"/>
    <w:rsid w:val="00C50536"/>
    <w:rsid w:val="00C55EB7"/>
    <w:rsid w:val="00C84ED9"/>
    <w:rsid w:val="00CA3D0C"/>
    <w:rsid w:val="00CB6651"/>
    <w:rsid w:val="00CB6887"/>
    <w:rsid w:val="00CD4C7B"/>
    <w:rsid w:val="00D102F9"/>
    <w:rsid w:val="00D22038"/>
    <w:rsid w:val="00D45717"/>
    <w:rsid w:val="00D738D6"/>
    <w:rsid w:val="00D80795"/>
    <w:rsid w:val="00D87E00"/>
    <w:rsid w:val="00D908B4"/>
    <w:rsid w:val="00D9134D"/>
    <w:rsid w:val="00D97CD9"/>
    <w:rsid w:val="00DA7A03"/>
    <w:rsid w:val="00DB1818"/>
    <w:rsid w:val="00DC309B"/>
    <w:rsid w:val="00DC4DA2"/>
    <w:rsid w:val="00DE1406"/>
    <w:rsid w:val="00E07838"/>
    <w:rsid w:val="00E340BC"/>
    <w:rsid w:val="00E51F8B"/>
    <w:rsid w:val="00E62835"/>
    <w:rsid w:val="00E77645"/>
    <w:rsid w:val="00E852FF"/>
    <w:rsid w:val="00E90ABE"/>
    <w:rsid w:val="00EA1D56"/>
    <w:rsid w:val="00EA22F8"/>
    <w:rsid w:val="00EC4A25"/>
    <w:rsid w:val="00ED096C"/>
    <w:rsid w:val="00EE0A1E"/>
    <w:rsid w:val="00F025A2"/>
    <w:rsid w:val="00F2026E"/>
    <w:rsid w:val="00F2210A"/>
    <w:rsid w:val="00F37743"/>
    <w:rsid w:val="00F54A3D"/>
    <w:rsid w:val="00F653B8"/>
    <w:rsid w:val="00F76F8F"/>
    <w:rsid w:val="00FA1266"/>
    <w:rsid w:val="00FB2BEA"/>
    <w:rsid w:val="00FC1192"/>
    <w:rsid w:val="00FC53BF"/>
    <w:rsid w:val="00FC6713"/>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table" w:styleId="TableGrid">
    <w:name w:val="Table Grid"/>
    <w:aliases w:val="TableGrid"/>
    <w:basedOn w:val="TableNormal"/>
    <w:qFormat/>
    <w:rsid w:val="00B97FCF"/>
    <w:rPr>
      <w:rFonts w:ascii="CG Times (WN)" w:eastAsia="SimSun"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B97FCF"/>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B97FCF"/>
    <w:rPr>
      <w:rFonts w:eastAsia="SimSun"/>
      <w:lang w:val="en-GB" w:eastAsia="en-US"/>
    </w:rPr>
  </w:style>
  <w:style w:type="character" w:customStyle="1" w:styleId="B1Zchn">
    <w:name w:val="B1 Zchn"/>
    <w:link w:val="B1"/>
    <w:qFormat/>
    <w:rsid w:val="00233C4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5AIRPNAIUNRU-1156379521-3459</_dlc_DocId>
    <_dlc_DocIdUrl xmlns="71c5aaf6-e6ce-465b-b873-5148d2a4c105">
      <Url>https://nokia.sharepoint.com/sites/c5g/e2earch/_layouts/15/DocIdRedir.aspx?ID=5AIRPNAIUNRU-1156379521-3459</Url>
      <Description>5AIRPNAIUNRU-1156379521-3459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644D16-0DFB-4351-8866-184AD73C0AD7}">
  <ds:schemaRefs>
    <ds:schemaRef ds:uri="71c5aaf6-e6ce-465b-b873-5148d2a4c105"/>
    <ds:schemaRef ds:uri="http://schemas.openxmlformats.org/package/2006/metadata/core-properties"/>
    <ds:schemaRef ds:uri="http://www.w3.org/XML/1998/namespace"/>
    <ds:schemaRef ds:uri="http://schemas.microsoft.com/office/infopath/2007/PartnerControls"/>
    <ds:schemaRef ds:uri="http://purl.org/dc/elements/1.1/"/>
    <ds:schemaRef ds:uri="http://purl.org/dc/dcmitype/"/>
    <ds:schemaRef ds:uri="http://schemas.microsoft.com/office/2006/documentManagement/types"/>
    <ds:schemaRef ds:uri="b1e1cf1a-759b-4612-9ceb-2888e9efb08a"/>
    <ds:schemaRef ds:uri="a3840f4f-04be-43d1-b2ef-6ff1382503c7"/>
    <ds:schemaRef ds:uri="3b34c8f0-1ef5-4d1e-bb66-517ce7fe7356"/>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3F34946B-D5EC-411D-BC14-518945C9A361}">
  <ds:schemaRefs>
    <ds:schemaRef ds:uri="http://schemas.microsoft.com/sharepoint/v3/contenttype/forms"/>
  </ds:schemaRefs>
</ds:datastoreItem>
</file>

<file path=customXml/itemProps3.xml><?xml version="1.0" encoding="utf-8"?>
<ds:datastoreItem xmlns:ds="http://schemas.openxmlformats.org/officeDocument/2006/customXml" ds:itemID="{0AB9C8B6-0133-411B-8D66-7A0991A800DD}">
  <ds:schemaRefs>
    <ds:schemaRef ds:uri="http://schemas.microsoft.com/sharepoint/events"/>
  </ds:schemaRefs>
</ds:datastoreItem>
</file>

<file path=customXml/itemProps4.xml><?xml version="1.0" encoding="utf-8"?>
<ds:datastoreItem xmlns:ds="http://schemas.openxmlformats.org/officeDocument/2006/customXml" ds:itemID="{7378BFEC-D2BF-4353-952B-1C85E7DB39EF}">
  <ds:schemaRefs>
    <ds:schemaRef ds:uri="Microsoft.SharePoint.Taxonomy.ContentTypeSync"/>
  </ds:schemaRefs>
</ds:datastoreItem>
</file>

<file path=customXml/itemProps5.xml><?xml version="1.0" encoding="utf-8"?>
<ds:datastoreItem xmlns:ds="http://schemas.openxmlformats.org/officeDocument/2006/customXml" ds:itemID="{458DE094-C36C-44FD-BF06-9197088ED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113</TotalTime>
  <Pages>2</Pages>
  <Words>680</Words>
  <Characters>3881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4552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34</cp:revision>
  <dcterms:created xsi:type="dcterms:W3CDTF">2019-06-29T13:33:00Z</dcterms:created>
  <dcterms:modified xsi:type="dcterms:W3CDTF">2023-02-16T23:47:00Z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82342bef-7b67-440b-badc-9ee474956b4d</vt:lpwstr>
  </property>
</Properties>
</file>